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696-т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25 ноября 2022 года № 583-т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25 ноября 2022 года № 583-т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тарифов на тепловую энергию (мощность), производимую закрытым акционерным обществом «Спецтеплосервис» и поставляемую потребителям села Аксарка, села Харсаим, поселка Зеленый Яр муниципального округа Приуральский район Ямало-Ненецкого автоно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highlight w:val="white"/>
        </w:rPr>
        <w:t xml:space="preserve">и поселка Горнокнязевск городского округа город Салехард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, и долгосрочных параметров регулирования тарифов, на 2023 - 2027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25 ноября 2022 года № 583-т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25 ноября 2022 года № 583-т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1"/>
        <w:widowControl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</w:rPr>
        <w:t xml:space="preserve">ТАРИФЫ НА ТЕПЛОВУЮ ЭНЕРГИЮ (МОЩНОСТЬ), ПРОИЗВОДИМУЮ ЗАКРЫТЫМ АКЦИОНЕРНЫМ ОБЩЕСТВОМ «СПЕ</w:t>
      </w:r>
      <w:r>
        <w:rPr>
          <w:rFonts w:ascii="Liberation Sans" w:hAnsi="Liberation Sans" w:eastAsia="Liberation Serif" w:cs="Liberation Sans"/>
          <w:b w:val="0"/>
        </w:rPr>
        <w:t xml:space="preserve">ЦТЕПЛОСЕРВИС» И ПОСТАВЛЯЕМУЮ ПОТРЕБИТЕЛЯМ СЕЛА АКСАРКА, СЕЛА ХАРСАИМ, ПОСЕЛКА ЗЕЛЕНЫЙ ЯР </w:t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</w:rPr>
        <w:t xml:space="preserve">МУНИЦИПАЛЬНОГО ОКРУГА ПРИУРАЛЬСКИЙ РАЙОН 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И ПОСЕЛКА ГОРНОКНЯЗЕВСК ГОРОДСКОГО ОКРУГА ГОРОД САЛЕХАРД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, НА 2022 - 2027 ГОДЫ</w:t>
      </w:r>
      <w:r>
        <w:rPr>
          <w:rFonts w:ascii="Liberation Sans" w:hAnsi="Liberation Sans" w:cs="Liberation Sans"/>
        </w:rPr>
      </w:r>
      <w:r/>
    </w:p>
    <w:p>
      <w:pPr>
        <w:jc w:val="right"/>
      </w:pPr>
      <w:r>
        <w:rPr>
          <w:rFonts w:ascii="Liberation Sans" w:hAnsi="Liberation Sans" w:eastAsia="Liberation Serif" w:cs="Liberation Sans"/>
          <w:sz w:val="24"/>
          <w:highlight w:val="none"/>
        </w:rPr>
        <w:t xml:space="preserve">Таблица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4"/>
        <w:gridCol w:w="2460"/>
        <w:gridCol w:w="2039"/>
        <w:gridCol w:w="1185"/>
        <w:gridCol w:w="2058"/>
        <w:gridCol w:w="1066"/>
        <w:gridCol w:w="878"/>
        <w:gridCol w:w="1167"/>
        <w:gridCol w:w="992"/>
        <w:gridCol w:w="998"/>
        <w:gridCol w:w="1948"/>
      </w:tblGrid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4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3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3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Закрытое акционерное общество «Спецтеплосервис»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6347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6347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6347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7061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4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7061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6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8701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6878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7160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7160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7453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25 ноября 2022 года № 583-т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</w:rPr>
        <w:t xml:space="preserve">ЛЬГОТНЫЕ ТАРИФЫ 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</w:rPr>
        <w:t xml:space="preserve">ЗАКРЫТЫМ АКЦИОНЕРНЫМ ОБЩЕСТВОМ «СПЕЦТЕПЛОСЕРВИС»</w:t>
      </w:r>
      <w:r>
        <w:rPr>
          <w:rFonts w:ascii="Liberation Sans" w:hAnsi="Liberation Sans" w:eastAsia="Liberation Serif" w:cs="Liberation Sans"/>
          <w:b w:val="0"/>
        </w:rPr>
        <w:t xml:space="preserve"> И ПОСТАВЛЯЕМУЮ ПОТРЕБИТЕЛЯМ </w:t>
      </w:r>
      <w:r>
        <w:rPr>
          <w:rFonts w:ascii="Liberation Sans" w:hAnsi="Liberation Sans" w:eastAsia="Liberation Serif" w:cs="Liberation Sans"/>
          <w:b w:val="0"/>
        </w:rPr>
        <w:t xml:space="preserve">СЕЛА АКСАРКА, СЕЛА ХАРСАИМ, ПОСЕЛКА ЗЕЛЕНЫЙ ЯР </w:t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</w:rPr>
        <w:t xml:space="preserve"> МУНИЦИПАЛЬНОГО ОКРУГ ПРИУРАЛЬСКИЙ РАЙОН </w:t>
      </w:r>
      <w:r>
        <w:rPr>
          <w:rFonts w:ascii="Liberation Sans" w:hAnsi="Liberation Sans" w:eastAsia="Liberation Serif" w:cs="Liberation Sans"/>
          <w:b w:val="0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И ПОСЕЛКА ГОРНОКНЯЗЕВСК ГОРОДСКОГО ОКРУГА ГОРОД САЛЕХАРД</w:t>
      </w:r>
      <w:r>
        <w:rPr>
          <w:rFonts w:ascii="Liberation Sans" w:hAnsi="Liberation Sans" w:eastAsia="Liberation Serif" w:cs="Liberation Sans"/>
          <w:b w:val="0"/>
        </w:rPr>
        <w:t xml:space="preserve">, НА 20</w:t>
      </w:r>
      <w:r>
        <w:rPr>
          <w:rFonts w:ascii="Liberation Sans" w:hAnsi="Liberation Sans" w:eastAsia="Liberation Serif" w:cs="Liberation Sans"/>
          <w:b w:val="0"/>
        </w:rPr>
        <w:t xml:space="preserve">22 - 2027 ГОДЫ</w:t>
      </w:r>
      <w:r>
        <w:rPr>
          <w:rFonts w:ascii="Liberation Sans" w:hAnsi="Liberation Sans" w:cs="Liberation Sans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b w:val="0"/>
          <w:bCs w:val="0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10"/>
        <w:gridCol w:w="2425"/>
        <w:gridCol w:w="2051"/>
        <w:gridCol w:w="1215"/>
        <w:gridCol w:w="2069"/>
        <w:gridCol w:w="1097"/>
        <w:gridCol w:w="849"/>
        <w:gridCol w:w="1200"/>
        <w:gridCol w:w="1029"/>
        <w:gridCol w:w="934"/>
        <w:gridCol w:w="1876"/>
      </w:tblGrid>
      <w:tr>
        <w:trPr>
          <w:jc w:val="center"/>
        </w:trPr>
        <w:tc>
          <w:tcPr>
            <w:tcW w:w="6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705"/>
        </w:trPr>
        <w:tc>
          <w:tcPr>
            <w:tcW w:w="6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W w:w="6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32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W w:w="6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Закрытое акционерное общество «Спецтеплосервис»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01.01.2024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30.06.2024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1411,96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01.07.2024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31.12.2024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1524,91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01.01.2025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30.06.2025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1524,91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01.07.2025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31.12.2025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1662,15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35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01.01.2026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30.06.2026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01.07.2026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31.12.2026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01.01.2027 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01.07.2027 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</w:tcBorders>
            <w:tcW w:w="1232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</w:rPr>
              <w:t xml:space="preserve">&lt;***&gt;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01.12.2022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31.12.2022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1694,35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01.01.2023 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31.12.2023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1694,35</w:t>
            </w:r>
            <w:r>
              <w:rPr>
                <w:rFonts w:ascii="Liberation Sans" w:hAnsi="Liberation Sans" w:cs="Liberation Sans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01.01.2024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30.06.2024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01.07.2024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31.12.2024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1829,89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   01.01.2025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по  30.06.2025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1829,89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1994,58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2024-12-25T14:00:59Z</dcterms:modified>
</cp:coreProperties>
</file>